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Grille de comparaison de trois modèles</w:t>
      </w:r>
    </w:p>
    <w:p>
      <w:r>
        <w:t>Modèle de Meridal, à remplir : une ligne par demande. Les modèles s'appellent A, B et C tant que la notation n'est pas finie ; une autre personne note à part qui est qui. Dans la version Excel, la colonne « Meilleure » se calcule seule.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rPr>
                <w:b/>
              </w:rPr>
              <w:t>N°</w:t>
            </w:r>
          </w:p>
        </w:tc>
        <w:tc>
          <w:tcPr>
            <w:tcW w:type="dxa" w:w="1080"/>
          </w:tcPr>
          <w:p>
            <w:r>
              <w:rPr>
                <w:b/>
              </w:rPr>
              <w:t>Demande, copiée telle quelle</w:t>
            </w:r>
          </w:p>
        </w:tc>
        <w:tc>
          <w:tcPr>
            <w:tcW w:type="dxa" w:w="1080"/>
          </w:tcPr>
          <w:p>
            <w:r>
              <w:rPr>
                <w:b/>
              </w:rPr>
              <w:t>Ce qu'on attend</w:t>
            </w:r>
          </w:p>
        </w:tc>
        <w:tc>
          <w:tcPr>
            <w:tcW w:type="dxa" w:w="1080"/>
          </w:tcPr>
          <w:p>
            <w:r>
              <w:rPr>
                <w:b/>
              </w:rPr>
              <w:t>Note A</w:t>
            </w:r>
          </w:p>
        </w:tc>
        <w:tc>
          <w:tcPr>
            <w:tcW w:type="dxa" w:w="1080"/>
          </w:tcPr>
          <w:p>
            <w:r>
              <w:rPr>
                <w:b/>
              </w:rPr>
              <w:t>Note B</w:t>
            </w:r>
          </w:p>
        </w:tc>
        <w:tc>
          <w:tcPr>
            <w:tcW w:type="dxa" w:w="1080"/>
          </w:tcPr>
          <w:p>
            <w:r>
              <w:rPr>
                <w:b/>
              </w:rPr>
              <w:t>Note C</w:t>
            </w:r>
          </w:p>
        </w:tc>
        <w:tc>
          <w:tcPr>
            <w:tcW w:type="dxa" w:w="1080"/>
          </w:tcPr>
          <w:p>
            <w:r>
              <w:rPr>
                <w:b/>
              </w:rPr>
              <w:t>Meilleure</w:t>
            </w:r>
          </w:p>
        </w:tc>
        <w:tc>
          <w:tcPr>
            <w:tcW w:type="dxa" w:w="1080"/>
          </w:tcPr>
          <w:p>
            <w:r>
              <w:rPr>
                <w:b/>
              </w:rPr>
              <w:t>Remarques</w:t>
            </w:r>
          </w:p>
        </w:tc>
      </w:tr>
    </w:tbl>
    <w:p>
      <w:pPr>
        <w:pStyle w:val="Heading2"/>
      </w:pPr>
      <w:r>
        <w:t>Comment noter, de 1 à 5</w:t>
      </w:r>
    </w:p>
    <w:p>
      <w:r>
        <w:t>5 : utilisable tel quel, sans erreur. 4 : une retouche de forme. 3 : juste, mais à reprendre en partie. 2 : une erreur de fait, ou une partie manquante. 1 : faux, inventé, ou hors sujet.</w:t>
      </w:r>
    </w:p>
    <w:p>
      <w:r>
        <w:t>Une erreur de fait plafonne la note à 2, quelle que soit la qualité de l'écriture.</w:t>
      </w:r>
    </w:p>
    <w:p>
      <w:pPr>
        <w:pStyle w:val="Heading2"/>
      </w:pPr>
      <w:r>
        <w:t>Ce qu'on note</w:t>
      </w:r>
    </w:p>
    <w:p>
      <w:r>
        <w:t>La justesse : chaque fait, chiffre ou citation, vérifié. La complétude : tout ce qui était demandé. Le format : celui qui était demandé. Le temps de relecture : ce qu'il faudrait reprendre avant de s'en servir.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grille-de-comparaison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