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Note de la direction financière</w:t>
      </w:r>
    </w:p>
    <w:p>
      <w:r>
        <w:t>Document fabriqué pour l'atelier de Meridal : l'entreprise, ses règles et ses chiffres sont inventés. Le 12 mars 2026. Destinataires : les commerciaux et le service comptable.</w:t>
      </w:r>
    </w:p>
    <w:p>
      <w:pPr>
        <w:pStyle w:val="Heading2"/>
      </w:pPr>
      <w:r>
        <w:t>Objet : délai de paiement des nouveaux clients</w:t>
      </w:r>
    </w:p>
    <w:p>
      <w:r>
        <w:t>À compter de ce jour, pour les nouveaux clients, le délai de paiement est ramené à 30 jours à compter de la date de facture, pendant les six premiers mois de la relation. Le délai des conditions générales de vente s'applique ensuite.</w:t>
      </w:r>
    </w:p>
    <w:p>
      <w:r>
        <w:t>Les conditions générales de vente seront mises à jour au prochain semestre. D'ici là, cette note prévaut sur elles pour les nouveaux clients.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note-direction-financiere-mars-2026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