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Charte d'usage de l'IA</w:t>
      </w:r>
    </w:p>
    <w:p>
      <w:r>
        <w:t>Modèle de Meridal, à adapter : remplacez chaque [crochet], retirez ce qui ne vous concerne pas, et faites relire le texte par votre conseil avant de le diffuser. Version [1], du [date].</w:t>
      </w:r>
    </w:p>
    <w:p>
      <w:pPr>
        <w:pStyle w:val="Heading2"/>
      </w:pPr>
      <w:r>
        <w:t>1. Objet</w:t>
      </w:r>
    </w:p>
    <w:p>
      <w:r>
        <w:t>Cette charte fixe les règles d'usage des outils d'intelligence artificielle générative dans [nom de l'entreprise] : les outils permis, les informations qu'on peut leur confier, la façon de se servir de leurs réponses. Elle s'applique à toute personne qui travaille pour l'entreprise avec un compte de l'entreprise : salariés, stagiaires, intérimaires, prestataires.</w:t>
      </w:r>
    </w:p>
    <w:p>
      <w:r>
        <w:t>L'entreprise encourage l'usage de l'IA dans ce cadre. Ce que la charte ne prévoit pas se demande au référent avant de se faire.</w:t>
      </w:r>
    </w:p>
    <w:p>
      <w:pPr>
        <w:pStyle w:val="Heading2"/>
      </w:pPr>
      <w:r>
        <w:t>2. Les outils permis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Outil</w:t>
            </w:r>
          </w:p>
        </w:tc>
        <w:tc>
          <w:tcPr>
            <w:tcW w:type="dxa" w:w="2160"/>
          </w:tcPr>
          <w:p>
            <w:r>
              <w:rPr>
                <w:b/>
              </w:rPr>
              <w:t>Offre et contrat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Pour quoi</w:t>
            </w:r>
          </w:p>
        </w:tc>
        <w:tc>
          <w:tcPr>
            <w:tcW w:type="dxa" w:w="2160"/>
          </w:tcPr>
          <w:p>
            <w:r>
              <w:rPr>
                <w:b/>
              </w:rPr>
              <w:t>Qui</w:t>
            </w:r>
          </w:p>
        </w:tc>
      </w:tr>
      <w:tr>
        <w:tc>
          <w:tcPr>
            <w:tcW w:type="dxa" w:w="2160"/>
          </w:tcPr>
          <w:p>
            <w:r>
              <w:t>[Nom de l'outil]</w:t>
            </w:r>
          </w:p>
        </w:tc>
        <w:tc>
          <w:tcPr>
            <w:tcW w:type="dxa" w:w="2160"/>
          </w:tcPr>
          <w:p>
            <w:r>
              <w:t>[Offre d'équipe, contrat du …]</w:t>
            </w:r>
          </w:p>
        </w:tc>
        <w:tc>
          <w:tcPr>
            <w:tcW w:type="dxa" w:w="2160"/>
          </w:tcPr>
          <w:p>
            <w:r>
              <w:t>[Tous les usages permis par l'article 3]</w:t>
            </w:r>
          </w:p>
        </w:tc>
        <w:tc>
          <w:tcPr>
            <w:tcW w:type="dxa" w:w="2160"/>
          </w:tcPr>
          <w:p>
            <w:r>
              <w:t>[Toute l'équipe]</w:t>
            </w:r>
          </w:p>
        </w:tc>
      </w:tr>
      <w:tr>
        <w:tc>
          <w:tcPr>
            <w:tcW w:type="dxa" w:w="2160"/>
          </w:tcPr>
          <w:p>
            <w:r>
              <w:t>[Nom de l'outil]</w:t>
            </w:r>
          </w:p>
        </w:tc>
        <w:tc>
          <w:tcPr>
            <w:tcW w:type="dxa" w:w="2160"/>
          </w:tcPr>
          <w:p>
            <w:r>
              <w:t>[Offre d'équipe, contrat du …]</w:t>
            </w:r>
          </w:p>
        </w:tc>
        <w:tc>
          <w:tcPr>
            <w:tcW w:type="dxa" w:w="2160"/>
          </w:tcPr>
          <w:p>
            <w:r>
              <w:t>[Usage précis]</w:t>
            </w:r>
          </w:p>
        </w:tc>
        <w:tc>
          <w:tcPr>
            <w:tcW w:type="dxa" w:w="2160"/>
          </w:tcPr>
          <w:p>
            <w:r>
              <w:t>[Une équipe]</w:t>
            </w:r>
          </w:p>
        </w:tc>
      </w:tr>
    </w:tbl>
    <w:p>
      <w:r>
        <w:t>On se sert de ces outils avec les comptes de l'entreprise seulement. Un compte personnel, gratuit ou payant, ne sert pas au travail, même pour une tâche sans enjeu.</w:t>
      </w:r>
    </w:p>
    <w:p>
      <w:r>
        <w:t>Un nouvel outil, une extension de navigateur, un connecteur vers la messagerie ou les documents s'ajoutent après l'accord du référent.</w:t>
      </w:r>
    </w:p>
    <w:p>
      <w:pPr>
        <w:pStyle w:val="Heading2"/>
      </w:pPr>
      <w:r>
        <w:t>3. Les informations qu'on peut confier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Niveau</w:t>
            </w:r>
          </w:p>
        </w:tc>
        <w:tc>
          <w:tcPr>
            <w:tcW w:type="dxa" w:w="2160"/>
          </w:tcPr>
          <w:p>
            <w:r>
              <w:rPr>
                <w:b/>
              </w:rPr>
              <w:t>Ce que c'est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Exemples, à remplacer par les vôtres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Où</w:t>
            </w:r>
          </w:p>
        </w:tc>
      </w:tr>
      <w:tr>
        <w:tc>
          <w:tcPr>
            <w:tcW w:type="dxa" w:w="2160"/>
          </w:tcPr>
          <w:p>
            <w:r>
              <w:t>Libre</w:t>
            </w:r>
          </w:p>
        </w:tc>
        <w:tc>
          <w:tcPr>
            <w:tcW w:type="dxa" w:w="2160"/>
          </w:tcPr>
          <w:p>
            <w:r>
              <w:t>Ce qui est public, ou sans enjeu</w:t>
            </w:r>
          </w:p>
        </w:tc>
        <w:tc>
          <w:tcPr>
            <w:tcW w:type="dxa" w:w="2160"/>
          </w:tcPr>
          <w:p>
            <w:r>
              <w:t>Textes publiés, documentation des produits, brouillon sans nom</w:t>
            </w:r>
          </w:p>
        </w:tc>
        <w:tc>
          <w:tcPr>
            <w:tcW w:type="dxa" w:w="2160"/>
          </w:tcPr>
          <w:p>
            <w:r>
              <w:t>Dans les outils permis</w:t>
            </w:r>
          </w:p>
        </w:tc>
      </w:tr>
      <w:tr>
        <w:tc>
          <w:tcPr>
            <w:tcW w:type="dxa" w:w="2160"/>
          </w:tcPr>
          <w:p>
            <w:r>
              <w:t>Outil d'équipe seulement</w:t>
            </w:r>
          </w:p>
        </w:tc>
        <w:tc>
          <w:tcPr>
            <w:tcW w:type="dxa" w:w="2160"/>
          </w:tcPr>
          <w:p>
            <w:r>
              <w:t>Ce qui est interne, ou qui nomme un client ou un fournisseur</w:t>
            </w:r>
          </w:p>
        </w:tc>
        <w:tc>
          <w:tcPr>
            <w:tcW w:type="dxa" w:w="2160"/>
          </w:tcPr>
          <w:p>
            <w:r>
              <w:t>Devis, comptes rendus, noms et coordonnées des clients, conditions commerciales</w:t>
            </w:r>
          </w:p>
        </w:tc>
        <w:tc>
          <w:tcPr>
            <w:tcW w:type="dxa" w:w="2160"/>
          </w:tcPr>
          <w:p>
            <w:r>
              <w:t>Dans les outils permis, jamais ailleurs</w:t>
            </w:r>
          </w:p>
        </w:tc>
      </w:tr>
      <w:tr>
        <w:tc>
          <w:tcPr>
            <w:tcW w:type="dxa" w:w="2160"/>
          </w:tcPr>
          <w:p>
            <w:r>
              <w:t>Jamais</w:t>
            </w:r>
          </w:p>
        </w:tc>
        <w:tc>
          <w:tcPr>
            <w:tcW w:type="dxa" w:w="2160"/>
          </w:tcPr>
          <w:p>
            <w:r>
              <w:t>Ce qui est secret, sensible ou confié sous condition</w:t>
            </w:r>
          </w:p>
        </w:tc>
        <w:tc>
          <w:tcPr>
            <w:tcW w:type="dxa" w:w="2160"/>
          </w:tcPr>
          <w:p>
            <w:r>
              <w:t>Mots de passe et codes d'accès ; santé, salaires, évaluations des salariés ; informations sous secret professionnel ou sous accord de confidentialité qui l'interdit</w:t>
            </w:r>
          </w:p>
        </w:tc>
        <w:tc>
          <w:tcPr>
            <w:tcW w:type="dxa" w:w="2160"/>
          </w:tcPr>
          <w:p>
            <w:r>
              <w:t>Dans aucun outil, sauf un outil désigné par écrit pour cet usage</w:t>
            </w:r>
          </w:p>
        </w:tc>
      </w:tr>
    </w:tbl>
    <w:p>
      <w:r>
        <w:t>En cas de doute, retirez les noms, les coordonnées et les montants avant l'envoi, ou demandez au référent.</w:t>
      </w:r>
    </w:p>
    <w:p>
      <w:pPr>
        <w:pStyle w:val="Heading2"/>
      </w:pPr>
      <w:r>
        <w:t>4. Les réponses de l'IA</w:t>
      </w:r>
    </w:p>
    <w:p>
      <w:r>
        <w:t>Une réponse de l'IA est un brouillon. Avant de s'en servir, la personne qui l'utilise vérifie les faits et les chiffres à leur source, s'assure que le texte ne reprend pas l'œuvre d'un autre, et qu'il ne contient pas de propos discriminants.</w:t>
      </w:r>
    </w:p>
    <w:p>
      <w:r>
        <w:t>Aucune réponse ne part telle quelle vers un client, un candidat ou un partenaire. La personne qui envoie un document en répond, comme de tout son travail.</w:t>
      </w:r>
    </w:p>
    <w:p>
      <w:r>
        <w:t>Aucune décision qui concerne une personne (recrutement, évaluation, sanction, conditions accordées à un client) n'est laissée à l'IA seule.</w:t>
      </w:r>
    </w:p>
    <w:p>
      <w:pPr>
        <w:pStyle w:val="Heading2"/>
      </w:pPr>
      <w:r>
        <w:t>5. Les réglages</w:t>
      </w:r>
    </w:p>
    <w:p>
      <w:r>
        <w:t>Le référent règle chaque outil permis avant de l'ouvrir : l'usage des échanges pour entraîner les modèles, désactivé ou exclu par le contrat ; la durée de conservation des échanges ; les liens de partage publics, fermés ; les connecteurs, choisis un par un. Personne d'autre ne change ces réglages.</w:t>
      </w:r>
    </w:p>
    <w:p>
      <w:pPr>
        <w:pStyle w:val="Heading2"/>
      </w:pPr>
      <w:r>
        <w:t>6. Les incidents</w:t>
      </w:r>
    </w:p>
    <w:p>
      <w:r>
        <w:t>Une information du niveau « Jamais » envoyée par erreur, une réponse fausse partie chez un client, un outil qui se comporte de façon inattendue : on le signale au référent le jour même. [Un signalement fait le jour même ne donne lieu à aucune sanction.] Il permet de supprimer la conversation et de limiter le dommage.</w:t>
      </w:r>
    </w:p>
    <w:p>
      <w:pPr>
        <w:pStyle w:val="Heading2"/>
      </w:pPr>
      <w:r>
        <w:t>7. Le référent</w:t>
      </w:r>
    </w:p>
    <w:p>
      <w:r>
        <w:t>[Nom, fonction, adresse de messagerie.] Le référent tient la liste des outils permis, règle les comptes, répond aux questions, reçoit les signalements, et recueille chaque [semestre] l'avis des utilisateurs sur l'utilité et les limites des outils.</w:t>
      </w:r>
    </w:p>
    <w:p>
      <w:pPr>
        <w:pStyle w:val="Heading2"/>
      </w:pPr>
      <w:r>
        <w:t>8. La formation</w:t>
      </w:r>
    </w:p>
    <w:p>
      <w:r>
        <w:t>Chaque personne suit [une formation de deux heures] avant l'ouverture de son compte : ce que fait l'outil, comment il se trompe, cette charte. L'entreprise garde la trace des formations suivies.</w:t>
      </w:r>
    </w:p>
    <w:p>
      <w:pPr>
        <w:pStyle w:val="Heading2"/>
      </w:pPr>
      <w:r>
        <w:t>9. Le contrôle</w:t>
      </w:r>
    </w:p>
    <w:p>
      <w:r>
        <w:t>[À garder, ou à retirer si l'entreprise ne contrôle pas.] L'administrateur peut consulter [les journaux d'usage, ou les conversations] des comptes de l'entreprise pour [vérifier le respect de cette charte, ou répondre à une obligation légale]. Ce contrôle est porté à la connaissance de chacun par la présente charte.</w:t>
      </w:r>
    </w:p>
    <w:p>
      <w:pPr>
        <w:pStyle w:val="Heading2"/>
      </w:pPr>
      <w:r>
        <w:t>10. Entrée en vigueur et révision</w:t>
      </w:r>
    </w:p>
    <w:p>
      <w:r>
        <w:t>Cette charte entre en vigueur le [date]. Elle est revue tous les [six mois], et à chaque nouvel outil. [Si elle est annexée au règlement intérieur : un manquement à cette charte peut donner lieu aux sanctions prévues par le règlement intérieur.]</w:t>
      </w:r>
    </w:p>
    <w:p>
      <w:r>
        <w:t>Approuvée par [nom, fonction], le [date].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charte-d-usage-de-l-ia</dc:title>
  <dc:subject/>
  <dc:creator>Meridal</dc:creator>
  <cp:keywords/>
  <dc:description>generated by python-docx</dc:description>
  <cp:lastModifiedBy>Meridal</cp:lastModifiedBy>
  <cp:revision>1</cp:revision>
  <dcterms:created xsi:type="dcterms:W3CDTF">2026-01-01T00:00:00Z</dcterms:created>
  <dcterms:modified xsi:type="dcterms:W3CDTF">2026-01-01T00:00:00Z</dcterms:modified>
  <cp:category/>
</cp:coreProperties>
</file>