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Configuration à compléter</w:t>
      </w:r>
    </w:p>
    <w:p>
      <w:r>
        <w:t>Exercice de Meridal. Les valeurs entre chevrons sont à remplacer ; rien ici n'est une vraie clé.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Variable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Valeur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À quoi elle sert</w:t>
            </w:r>
          </w:p>
        </w:tc>
      </w:tr>
      <w:tr>
        <w:tc>
          <w:tcPr>
            <w:tcW w:type="dxa" w:w="2880"/>
          </w:tcPr>
          <w:p>
            <w:r>
              <w:t>WEBUI_URL</w:t>
            </w:r>
          </w:p>
        </w:tc>
        <w:tc>
          <w:tcPr>
            <w:tcW w:type="dxa" w:w="2880"/>
          </w:tcPr>
          <w:p>
            <w:r>
              <w:t>https://ia.atelier.example</w:t>
            </w:r>
          </w:p>
        </w:tc>
        <w:tc>
          <w:tcPr>
            <w:tcW w:type="dxa" w:w="2880"/>
          </w:tcPr>
          <w:p>
            <w:r>
              <w:t>l'adresse publique de l'interface</w:t>
            </w:r>
          </w:p>
        </w:tc>
      </w:tr>
      <w:tr>
        <w:tc>
          <w:tcPr>
            <w:tcW w:type="dxa" w:w="2880"/>
          </w:tcPr>
          <w:p>
            <w:r>
              <w:t>MICROSOFT_CLIENT_ID</w:t>
            </w:r>
          </w:p>
        </w:tc>
        <w:tc>
          <w:tcPr>
            <w:tcW w:type="dxa" w:w="2880"/>
          </w:tcPr>
          <w:p>
            <w:r>
              <w:t>&lt;à compléter&gt;</w:t>
            </w:r>
          </w:p>
        </w:tc>
        <w:tc>
          <w:tcPr>
            <w:tcW w:type="dxa" w:w="2880"/>
          </w:tcPr>
          <w:p>
            <w:r>
              <w:t>l'identifiant de l'application inscrite dans Entra</w:t>
            </w:r>
          </w:p>
        </w:tc>
      </w:tr>
      <w:tr>
        <w:tc>
          <w:tcPr>
            <w:tcW w:type="dxa" w:w="2880"/>
          </w:tcPr>
          <w:p>
            <w:r>
              <w:t>MICROSOFT_CLIENT_SECRET</w:t>
            </w:r>
          </w:p>
        </w:tc>
        <w:tc>
          <w:tcPr>
            <w:tcW w:type="dxa" w:w="2880"/>
          </w:tcPr>
          <w:p>
            <w:r>
              <w:t>&lt;à compléter&gt;</w:t>
            </w:r>
          </w:p>
        </w:tc>
        <w:tc>
          <w:tcPr>
            <w:tcW w:type="dxa" w:w="2880"/>
          </w:tcPr>
          <w:p>
            <w:r>
              <w:t>le secret de cette application</w:t>
            </w:r>
          </w:p>
        </w:tc>
      </w:tr>
      <w:tr>
        <w:tc>
          <w:tcPr>
            <w:tcW w:type="dxa" w:w="2880"/>
          </w:tcPr>
          <w:p>
            <w:r>
              <w:t>MICROSOFT_CLIENT_TENANT_ID</w:t>
            </w:r>
          </w:p>
        </w:tc>
        <w:tc>
          <w:tcPr>
            <w:tcW w:type="dxa" w:w="2880"/>
          </w:tcPr>
          <w:p>
            <w:r>
              <w:t>&lt;à compléter&gt;</w:t>
            </w:r>
          </w:p>
        </w:tc>
        <w:tc>
          <w:tcPr>
            <w:tcW w:type="dxa" w:w="2880"/>
          </w:tcPr>
          <w:p>
            <w:r>
              <w:t>l'identifiant du locataire de l'entreprise</w:t>
            </w:r>
          </w:p>
        </w:tc>
      </w:tr>
      <w:tr>
        <w:tc>
          <w:tcPr>
            <w:tcW w:type="dxa" w:w="2880"/>
          </w:tcPr>
          <w:p>
            <w:r>
              <w:t>MICROSOFT_OAUTH_SCOPE</w:t>
            </w:r>
          </w:p>
        </w:tc>
        <w:tc>
          <w:tcPr>
            <w:tcW w:type="dxa" w:w="2880"/>
          </w:tcPr>
          <w:p>
            <w:r>
              <w:t>&lt;à compléter&gt;</w:t>
            </w:r>
          </w:p>
        </w:tc>
        <w:tc>
          <w:tcPr>
            <w:tcW w:type="dxa" w:w="2880"/>
          </w:tcPr>
          <w:p>
            <w:r>
              <w:t>ce que l'interface demande à Microsoft</w:t>
            </w:r>
          </w:p>
        </w:tc>
      </w:tr>
      <w:tr>
        <w:tc>
          <w:tcPr>
            <w:tcW w:type="dxa" w:w="2880"/>
          </w:tcPr>
          <w:p>
            <w:r>
              <w:t>ENABLE_OAUTH_SIGNUP</w:t>
            </w:r>
          </w:p>
        </w:tc>
        <w:tc>
          <w:tcPr>
            <w:tcW w:type="dxa" w:w="2880"/>
          </w:tcPr>
          <w:p>
            <w:r>
              <w:t>&lt;à compléter&gt;</w:t>
            </w:r>
          </w:p>
        </w:tc>
        <w:tc>
          <w:tcPr>
            <w:tcW w:type="dxa" w:w="2880"/>
          </w:tcPr>
          <w:p>
            <w:r>
              <w:t>la création du compte à la première connexion</w:t>
            </w:r>
          </w:p>
        </w:tc>
      </w:tr>
      <w:tr>
        <w:tc>
          <w:tcPr>
            <w:tcW w:type="dxa" w:w="2880"/>
          </w:tcPr>
          <w:p>
            <w:r>
              <w:t>OAUTH_MERGE_ACCOUNTS_BY_EMAIL</w:t>
            </w:r>
          </w:p>
        </w:tc>
        <w:tc>
          <w:tcPr>
            <w:tcW w:type="dxa" w:w="2880"/>
          </w:tcPr>
          <w:p>
            <w:r>
              <w:t>&lt;à compléter&gt;</w:t>
            </w:r>
          </w:p>
        </w:tc>
        <w:tc>
          <w:tcPr>
            <w:tcW w:type="dxa" w:w="2880"/>
          </w:tcPr>
          <w:p>
            <w:r>
              <w:t>la fusion de comptes par adresse électronique</w:t>
            </w:r>
          </w:p>
        </w:tc>
      </w:tr>
      <w:tr>
        <w:tc>
          <w:tcPr>
            <w:tcW w:type="dxa" w:w="2880"/>
          </w:tcPr>
          <w:p>
            <w:r>
              <w:t>DEFAULT_USER_ROLE</w:t>
            </w:r>
          </w:p>
        </w:tc>
        <w:tc>
          <w:tcPr>
            <w:tcW w:type="dxa" w:w="2880"/>
          </w:tcPr>
          <w:p>
            <w:r>
              <w:t>&lt;à compléter&gt;</w:t>
            </w:r>
          </w:p>
        </w:tc>
        <w:tc>
          <w:tcPr>
            <w:tcW w:type="dxa" w:w="2880"/>
          </w:tcPr>
          <w:p>
            <w:r>
              <w:t>le rôle d'un nouveau compte</w:t>
            </w:r>
          </w:p>
        </w:tc>
      </w:tr>
      <w:tr>
        <w:tc>
          <w:tcPr>
            <w:tcW w:type="dxa" w:w="2880"/>
          </w:tcPr>
          <w:p>
            <w:r>
              <w:t>ENABLE_LOGIN_FORM</w:t>
            </w:r>
          </w:p>
        </w:tc>
        <w:tc>
          <w:tcPr>
            <w:tcW w:type="dxa" w:w="2880"/>
          </w:tcPr>
          <w:p>
            <w:r>
              <w:t>&lt;à compléter&gt;</w:t>
            </w:r>
          </w:p>
        </w:tc>
        <w:tc>
          <w:tcPr>
            <w:tcW w:type="dxa" w:w="2880"/>
          </w:tcPr>
          <w:p>
            <w:r>
              <w:t>le formulaire de connexion par mot de passe</w:t>
            </w:r>
          </w:p>
        </w:tc>
      </w:tr>
      <w:tr>
        <w:tc>
          <w:tcPr>
            <w:tcW w:type="dxa" w:w="2880"/>
          </w:tcPr>
          <w:p>
            <w:r>
              <w:t>OPENAI_API_KEY</w:t>
            </w:r>
          </w:p>
        </w:tc>
        <w:tc>
          <w:tcPr>
            <w:tcW w:type="dxa" w:w="2880"/>
          </w:tcPr>
          <w:p>
            <w:r>
              <w:t>&lt;la clé de l'éditeur&gt;</w:t>
            </w:r>
          </w:p>
        </w:tc>
        <w:tc>
          <w:tcPr>
            <w:tcW w:type="dxa" w:w="2880"/>
          </w:tcPr>
          <w:p>
            <w:r>
              <w:t>la clé de l'API, gardée sur le serveur</w:t>
            </w:r>
          </w:p>
        </w:tc>
      </w:tr>
    </w:tbl>
    <w:p>
      <w:pPr>
        <w:pStyle w:val="Heading2"/>
      </w:pPr>
      <w:r>
        <w:t>Côté Microsoft Entra</w:t>
      </w:r>
    </w:p>
    <w:p>
      <w:r>
        <w:t>L'adresse de retour à inscrire, et le réglage qui réserve l'application au groupe IA-Equipe, sont à trouver dans les consignes.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configuration-a-completer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