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Fiche du projet</w:t>
      </w:r>
    </w:p>
    <w:p>
      <w:r>
        <w:t>Exercice de Meridal. L'entreprise, son domaine et ses comptes sont fabriqués pour l'exercice ; les adresses en « .example » ne mènent nulle part.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Élément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Valeur</w:t>
            </w:r>
          </w:p>
        </w:tc>
      </w:tr>
      <w:tr>
        <w:tc>
          <w:tcPr>
            <w:tcW w:type="dxa" w:w="4320"/>
          </w:tcPr>
          <w:p>
            <w:r>
              <w:t>Entreprise</w:t>
            </w:r>
          </w:p>
        </w:tc>
        <w:tc>
          <w:tcPr>
            <w:tcW w:type="dxa" w:w="4320"/>
          </w:tcPr>
          <w:p>
            <w:r>
              <w:t>Atelier Exemple, vingt salariés</w:t>
            </w:r>
          </w:p>
        </w:tc>
      </w:tr>
      <w:tr>
        <w:tc>
          <w:tcPr>
            <w:tcW w:type="dxa" w:w="4320"/>
          </w:tcPr>
          <w:p>
            <w:r>
              <w:t>Annuaire des comptes</w:t>
            </w:r>
          </w:p>
        </w:tc>
        <w:tc>
          <w:tcPr>
            <w:tcW w:type="dxa" w:w="4320"/>
          </w:tcPr>
          <w:p>
            <w:r>
              <w:t>Microsoft Entra ID, un seul locataire, celui de l'entreprise</w:t>
            </w:r>
          </w:p>
        </w:tc>
      </w:tr>
      <w:tr>
        <w:tc>
          <w:tcPr>
            <w:tcW w:type="dxa" w:w="4320"/>
          </w:tcPr>
          <w:p>
            <w:r>
              <w:t>Adresse de l'interface</w:t>
            </w:r>
          </w:p>
        </w:tc>
        <w:tc>
          <w:tcPr>
            <w:tcW w:type="dxa" w:w="4320"/>
          </w:tcPr>
          <w:p>
            <w:r>
              <w:t>https://ia.atelier.example</w:t>
            </w:r>
          </w:p>
        </w:tc>
      </w:tr>
      <w:tr>
        <w:tc>
          <w:tcPr>
            <w:tcW w:type="dxa" w:w="4320"/>
          </w:tcPr>
          <w:p>
            <w:r>
              <w:t>Qui doit entrer</w:t>
            </w:r>
          </w:p>
        </w:tc>
        <w:tc>
          <w:tcPr>
            <w:tcW w:type="dxa" w:w="4320"/>
          </w:tcPr>
          <w:p>
            <w:r>
              <w:t>les douze membres du groupe IA-Equipe</w:t>
            </w:r>
          </w:p>
        </w:tc>
      </w:tr>
      <w:tr>
        <w:tc>
          <w:tcPr>
            <w:tcW w:type="dxa" w:w="4320"/>
          </w:tcPr>
          <w:p>
            <w:r>
              <w:t>Qui ne doit pas entrer</w:t>
            </w:r>
          </w:p>
        </w:tc>
        <w:tc>
          <w:tcPr>
            <w:tcW w:type="dxa" w:w="4320"/>
          </w:tcPr>
          <w:p>
            <w:r>
              <w:t>les autres salariés, les invités, tout compte Microsoft personnel</w:t>
            </w:r>
          </w:p>
        </w:tc>
      </w:tr>
      <w:tr>
        <w:tc>
          <w:tcPr>
            <w:tcW w:type="dxa" w:w="4320"/>
          </w:tcPr>
          <w:p>
            <w:r>
              <w:t>Interface</w:t>
            </w:r>
          </w:p>
        </w:tc>
        <w:tc>
          <w:tcPr>
            <w:tcW w:type="dxa" w:w="4320"/>
          </w:tcPr>
          <w:p>
            <w:r>
              <w:t>Open WebUI, dans un conteneur Docker, chez un hébergeur en Europe</w:t>
            </w:r>
          </w:p>
        </w:tc>
      </w:tr>
      <w:tr>
        <w:tc>
          <w:tcPr>
            <w:tcW w:type="dxa" w:w="4320"/>
          </w:tcPr>
          <w:p>
            <w:r>
              <w:t>Modèle</w:t>
            </w:r>
          </w:p>
        </w:tc>
        <w:tc>
          <w:tcPr>
            <w:tcW w:type="dxa" w:w="4320"/>
          </w:tcPr>
          <w:p>
            <w:r>
              <w:t>par l'API d'un éditeur ; la clé reste sur le serveur</w:t>
            </w:r>
          </w:p>
        </w:tc>
      </w:tr>
      <w:tr>
        <w:tc>
          <w:tcPr>
            <w:tcW w:type="dxa" w:w="4320"/>
          </w:tcPr>
          <w:p>
            <w:r>
              <w:t>Données</w:t>
            </w:r>
          </w:p>
        </w:tc>
        <w:tc>
          <w:tcPr>
            <w:tcW w:type="dxa" w:w="4320"/>
          </w:tcPr>
          <w:p>
            <w:r>
              <w:t>les conversations gardées dans un volume, qui survit aux redémarrages</w:t>
            </w:r>
          </w:p>
        </w:tc>
      </w:tr>
    </w:tbl>
    <w:p>
      <w:pPr>
        <w:pStyle w:val="Heading2"/>
      </w:pPr>
      <w:r>
        <w:t>Ce que la direction demande</w:t>
      </w:r>
    </w:p>
    <w:p>
      <w:r>
        <w:t>Une interface de discussion pour l'équipe, où l'on entre avec son compte Microsoft de l'entreprise, sans mot de passe de plus. Personne d'autre que le groupe IA-Equipe ne doit pouvoir y entrer, et la clé de l'API ne doit jamais apparaître dans un navigateur.</w:t>
      </w:r>
    </w:p>
    <w:p>
      <w:pPr>
        <w:pStyle w:val="Heading2"/>
      </w:pPr>
      <w:r>
        <w:t>Ce qui est déjà fait</w:t>
      </w:r>
    </w:p>
    <w:p>
      <w:r>
        <w:t>L'hébergeur est choisi et l'adresse ia.atelier.example pointe vers lui, en HTTPS. L'administrateur de l'interface, la personne chargée de l'informatique, a un compte local créé au premier lancement.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fiche-du-projet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