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réclamations des clients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3 février 2026. Responsable : le service client.</w:t>
      </w:r>
    </w:p>
    <w:p>
      <w:pPr>
        <w:pStyle w:val="Heading2"/>
      </w:pPr>
      <w:r>
        <w:t>L'enregistrement</w:t>
      </w:r>
    </w:p>
    <w:p>
      <w:r>
        <w:t>Toute réclamation est enregistrée dans le logiciel de suivi des clients sous 24 heures, avec ses photos ; le logiciel donne un numéro de réclamation, communiqué au client.</w:t>
      </w:r>
    </w:p>
    <w:p>
      <w:pPr>
        <w:pStyle w:val="Heading2"/>
      </w:pPr>
      <w:r>
        <w:t>La réponse</w:t>
      </w:r>
    </w:p>
    <w:p>
      <w:r>
        <w:t>Le service client répond sous 48 heures ouvrées : un remplacement, un avoir ou un refus motivé. Un avoir de plus de 500 € HT est validé par la direction commerciale.</w:t>
      </w:r>
    </w:p>
    <w:p>
      <w:pPr>
        <w:pStyle w:val="Heading2"/>
      </w:pPr>
      <w:r>
        <w:t>Le suivi</w:t>
      </w:r>
    </w:p>
    <w:p>
      <w:r>
        <w:t>Le service client relit chaque vendredi les réclamations ouvertes depuis plus de huit jours.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04-reclamations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