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livraisons aux clients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27 avril 2026. Responsable : la logistique.</w:t>
      </w:r>
    </w:p>
    <w:p>
      <w:pPr>
        <w:pStyle w:val="Heading2"/>
      </w:pPr>
      <w:r>
        <w:t>Le créneau</w:t>
      </w:r>
    </w:p>
    <w:p>
      <w:r>
        <w:t>Le client choisit un créneau de demi-journée lors de la commande ; la veille, la logistique le confirme par message.</w:t>
      </w:r>
    </w:p>
    <w:p>
      <w:pPr>
        <w:pStyle w:val="Heading2"/>
      </w:pPr>
      <w:r>
        <w:t>La réception</w:t>
      </w:r>
    </w:p>
    <w:p>
      <w:r>
        <w:t>Le chauffeur et le client contrôlent ensemble le nombre de colis et leur état. Un colis abîmé se photographie, et les réserves s'écrivent sur le bon de livraison, signé des deux.</w:t>
      </w:r>
    </w:p>
    <w:p>
      <w:pPr>
        <w:pStyle w:val="Heading2"/>
      </w:pPr>
      <w:r>
        <w:t>Le retour</w:t>
      </w:r>
    </w:p>
    <w:p>
      <w:r>
        <w:t>Une livraison refusée revient à l'entrepôt le jour même ; le service client prévient le client sous 24 heures.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07-livraisons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